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2" w:rsidRDefault="00BD5E12" w:rsidP="00BD5E12">
      <w:pPr>
        <w:ind w:left="1099" w:right="1117"/>
        <w:jc w:val="center"/>
        <w:rPr>
          <w:b/>
          <w:sz w:val="24"/>
        </w:rPr>
      </w:pPr>
      <w:r>
        <w:rPr>
          <w:b/>
          <w:color w:val="C00000"/>
          <w:sz w:val="24"/>
          <w:u w:val="thick" w:color="C00000"/>
        </w:rPr>
        <w:t>UZAKTAN EĞİTİM KESİN KAYIT İÇİN GEREKLİ BELGELER</w:t>
      </w:r>
    </w:p>
    <w:p w:rsidR="00BD5E12" w:rsidRDefault="00BD5E12" w:rsidP="00BD5E12">
      <w:pPr>
        <w:pStyle w:val="GvdeMetni"/>
        <w:spacing w:before="11"/>
        <w:ind w:left="0"/>
        <w:rPr>
          <w:b/>
          <w:sz w:val="21"/>
        </w:rPr>
      </w:pPr>
    </w:p>
    <w:p w:rsid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line="276" w:lineRule="auto"/>
        <w:ind w:hanging="355"/>
        <w:rPr>
          <w:b/>
          <w:sz w:val="24"/>
        </w:rPr>
      </w:pPr>
      <w:r>
        <w:rPr>
          <w:sz w:val="24"/>
        </w:rPr>
        <w:t xml:space="preserve">Diploma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Aslı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Fotokopisi</w:t>
      </w:r>
      <w:proofErr w:type="spellEnd"/>
      <w:r>
        <w:rPr>
          <w:b/>
          <w:sz w:val="24"/>
        </w:rPr>
        <w:t>)</w:t>
      </w:r>
    </w:p>
    <w:p w:rsidR="00BD5E12" w:rsidRP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139" w:line="276" w:lineRule="auto"/>
        <w:ind w:hanging="355"/>
        <w:rPr>
          <w:b/>
          <w:sz w:val="24"/>
        </w:rPr>
      </w:pPr>
      <w:r>
        <w:rPr>
          <w:sz w:val="24"/>
        </w:rPr>
        <w:t xml:space="preserve">Not Durum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Transkript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Aslı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Fotokopisi</w:t>
      </w:r>
      <w:proofErr w:type="spellEnd"/>
      <w:r>
        <w:rPr>
          <w:b/>
          <w:sz w:val="24"/>
        </w:rPr>
        <w:t>)</w:t>
      </w:r>
    </w:p>
    <w:p w:rsid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137" w:line="276" w:lineRule="auto"/>
        <w:ind w:right="434" w:hanging="355"/>
        <w:jc w:val="both"/>
        <w:rPr>
          <w:b/>
          <w:sz w:val="24"/>
        </w:rPr>
      </w:pP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Anlaşmalı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Aslı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Fotokopisi</w:t>
      </w:r>
      <w:proofErr w:type="spellEnd"/>
      <w:r>
        <w:rPr>
          <w:b/>
          <w:sz w:val="24"/>
        </w:rPr>
        <w:t>)</w:t>
      </w:r>
    </w:p>
    <w:p w:rsidR="00BD5E12" w:rsidRP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157" w:line="360" w:lineRule="auto"/>
        <w:ind w:hanging="355"/>
        <w:rPr>
          <w:b/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aslı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fotokopisi</w:t>
      </w:r>
      <w:proofErr w:type="spellEnd"/>
    </w:p>
    <w:p w:rsidR="00BD5E12" w:rsidRP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1" w:line="360" w:lineRule="auto"/>
        <w:ind w:hanging="355"/>
        <w:rPr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(son </w:t>
      </w:r>
      <w:proofErr w:type="spellStart"/>
      <w:r>
        <w:rPr>
          <w:sz w:val="24"/>
        </w:rPr>
        <w:t>altı</w:t>
      </w:r>
      <w:proofErr w:type="spellEnd"/>
      <w:r>
        <w:rPr>
          <w:sz w:val="24"/>
        </w:rPr>
        <w:t xml:space="preserve"> ay </w:t>
      </w:r>
      <w:proofErr w:type="spellStart"/>
      <w:r>
        <w:rPr>
          <w:sz w:val="24"/>
        </w:rPr>
        <w:t>içinde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>)</w:t>
      </w:r>
    </w:p>
    <w:p w:rsidR="00BD5E12" w:rsidRPr="00E071E5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4" w:line="360" w:lineRule="auto"/>
        <w:ind w:hanging="355"/>
        <w:rPr>
          <w:rFonts w:ascii="Trebuchet MS" w:hAnsi="Trebuchet MS"/>
          <w:sz w:val="24"/>
        </w:rPr>
      </w:pPr>
      <w:proofErr w:type="spellStart"/>
      <w:r w:rsidRPr="00E071E5">
        <w:rPr>
          <w:rFonts w:ascii="Trebuchet MS" w:hAnsi="Trebuchet MS"/>
          <w:sz w:val="24"/>
        </w:rPr>
        <w:t>Şehit</w:t>
      </w:r>
      <w:proofErr w:type="spellEnd"/>
      <w:r w:rsidRPr="00E071E5">
        <w:rPr>
          <w:rFonts w:ascii="Trebuchet MS" w:hAnsi="Trebuchet MS"/>
          <w:sz w:val="24"/>
        </w:rPr>
        <w:t>/</w:t>
      </w:r>
      <w:proofErr w:type="spellStart"/>
      <w:r w:rsidRPr="00E071E5">
        <w:rPr>
          <w:rFonts w:ascii="Trebuchet MS" w:hAnsi="Trebuchet MS"/>
          <w:sz w:val="24"/>
        </w:rPr>
        <w:t>Gazi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Eş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ve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Çocukları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ve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Gaziler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için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bu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durumu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gösteren</w:t>
      </w:r>
      <w:proofErr w:type="spellEnd"/>
      <w:r w:rsidRPr="00E071E5">
        <w:rPr>
          <w:rFonts w:ascii="Trebuchet MS" w:hAnsi="Trebuchet MS"/>
          <w:sz w:val="24"/>
        </w:rPr>
        <w:t xml:space="preserve"> </w:t>
      </w:r>
      <w:proofErr w:type="spellStart"/>
      <w:r w:rsidRPr="00E071E5">
        <w:rPr>
          <w:rFonts w:ascii="Trebuchet MS" w:hAnsi="Trebuchet MS"/>
          <w:sz w:val="24"/>
        </w:rPr>
        <w:t>belge</w:t>
      </w:r>
      <w:proofErr w:type="spellEnd"/>
      <w:r w:rsidRPr="00E071E5">
        <w:rPr>
          <w:rFonts w:ascii="Trebuchet MS" w:hAnsi="Trebuchet MS"/>
          <w:sz w:val="24"/>
        </w:rPr>
        <w:t>.</w:t>
      </w:r>
      <w:r w:rsidRPr="00E071E5">
        <w:rPr>
          <w:rFonts w:ascii="Trebuchet MS" w:hAnsi="Trebuchet MS"/>
          <w:spacing w:val="59"/>
          <w:sz w:val="24"/>
        </w:rPr>
        <w:t xml:space="preserve"> </w:t>
      </w:r>
      <w:r w:rsidRPr="00E071E5">
        <w:rPr>
          <w:rFonts w:ascii="Trebuchet MS" w:hAnsi="Trebuchet MS"/>
          <w:sz w:val="24"/>
        </w:rPr>
        <w:t>(</w:t>
      </w:r>
      <w:proofErr w:type="spellStart"/>
      <w:r w:rsidRPr="00E071E5">
        <w:rPr>
          <w:rFonts w:ascii="Trebuchet MS" w:hAnsi="Trebuchet MS"/>
          <w:sz w:val="24"/>
        </w:rPr>
        <w:t>Uzaktan</w:t>
      </w:r>
      <w:proofErr w:type="spellEnd"/>
    </w:p>
    <w:p w:rsidR="00BD5E12" w:rsidRPr="00E071E5" w:rsidRDefault="00BD5E12" w:rsidP="00BD5E12">
      <w:pPr>
        <w:pStyle w:val="GvdeMetni"/>
        <w:spacing w:before="161" w:line="276" w:lineRule="auto"/>
        <w:rPr>
          <w:rFonts w:ascii="Trebuchet MS" w:hAnsi="Trebuchet MS"/>
        </w:rPr>
      </w:pPr>
      <w:proofErr w:type="spellStart"/>
      <w:proofErr w:type="gramStart"/>
      <w:r w:rsidRPr="00E071E5">
        <w:rPr>
          <w:rFonts w:ascii="Trebuchet MS" w:hAnsi="Trebuchet MS"/>
        </w:rPr>
        <w:t>Eğitimde</w:t>
      </w:r>
      <w:proofErr w:type="spellEnd"/>
      <w:r w:rsidRPr="00E071E5">
        <w:rPr>
          <w:rFonts w:ascii="Trebuchet MS" w:hAnsi="Trebuchet MS"/>
        </w:rPr>
        <w:t xml:space="preserve"> </w:t>
      </w:r>
      <w:proofErr w:type="spellStart"/>
      <w:r w:rsidRPr="00E071E5">
        <w:rPr>
          <w:rFonts w:ascii="Trebuchet MS" w:hAnsi="Trebuchet MS"/>
        </w:rPr>
        <w:t>ücret</w:t>
      </w:r>
      <w:proofErr w:type="spellEnd"/>
      <w:r w:rsidRPr="00E071E5">
        <w:rPr>
          <w:rFonts w:ascii="Trebuchet MS" w:hAnsi="Trebuchet MS"/>
        </w:rPr>
        <w:t xml:space="preserve"> </w:t>
      </w:r>
      <w:proofErr w:type="spellStart"/>
      <w:r w:rsidRPr="00E071E5">
        <w:rPr>
          <w:rFonts w:ascii="Trebuchet MS" w:hAnsi="Trebuchet MS"/>
        </w:rPr>
        <w:t>alınmamaktadır</w:t>
      </w:r>
      <w:proofErr w:type="spellEnd"/>
      <w:r w:rsidRPr="00E071E5">
        <w:rPr>
          <w:rFonts w:ascii="Trebuchet MS" w:hAnsi="Trebuchet MS"/>
        </w:rPr>
        <w:t>.)</w:t>
      </w:r>
      <w:proofErr w:type="gramEnd"/>
    </w:p>
    <w:p w:rsid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139" w:line="276" w:lineRule="auto"/>
        <w:ind w:right="444" w:hanging="35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tehirleri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Durum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 xml:space="preserve"> (son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olmalı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  <w:tab w:val="left" w:pos="5506"/>
        </w:tabs>
        <w:spacing w:before="136" w:line="276" w:lineRule="auto"/>
        <w:ind w:right="434" w:hanging="355"/>
        <w:rPr>
          <w:sz w:val="24"/>
        </w:rPr>
      </w:pPr>
      <w:proofErr w:type="spellStart"/>
      <w:proofErr w:type="gramStart"/>
      <w:r>
        <w:rPr>
          <w:sz w:val="24"/>
        </w:rPr>
        <w:t>Uzaktan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Eğitim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Ücret</w:t>
      </w:r>
      <w:proofErr w:type="spellEnd"/>
      <w:r>
        <w:rPr>
          <w:sz w:val="24"/>
        </w:rPr>
        <w:t xml:space="preserve"> 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Dekontu</w:t>
      </w:r>
      <w:proofErr w:type="spellEnd"/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2 x 2.250,00 =4.500,00 </w:t>
      </w:r>
      <w:proofErr w:type="spellStart"/>
      <w:r>
        <w:rPr>
          <w:b/>
          <w:sz w:val="24"/>
        </w:rPr>
        <w:t>TL</w:t>
      </w:r>
      <w:r>
        <w:rPr>
          <w:sz w:val="24"/>
        </w:rPr>
        <w:t>’dir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TSK </w:t>
      </w:r>
      <w:proofErr w:type="spellStart"/>
      <w:r>
        <w:rPr>
          <w:sz w:val="24"/>
        </w:rPr>
        <w:t>Askeri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geçerlidir</w:t>
      </w:r>
      <w:proofErr w:type="spellEnd"/>
      <w:r>
        <w:rPr>
          <w:sz w:val="24"/>
        </w:rPr>
        <w:t>.)</w:t>
      </w:r>
    </w:p>
    <w:p w:rsid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line="360" w:lineRule="auto"/>
        <w:ind w:right="436" w:hanging="355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Dekontu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2 x 1.125.00 = 2.250,00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TL</w:t>
      </w:r>
      <w:r>
        <w:rPr>
          <w:sz w:val="24"/>
        </w:rPr>
        <w:t>’dir</w:t>
      </w:r>
      <w:proofErr w:type="spellEnd"/>
      <w:r>
        <w:rPr>
          <w:sz w:val="24"/>
        </w:rPr>
        <w:t>.</w:t>
      </w:r>
    </w:p>
    <w:p w:rsidR="00BD5E12" w:rsidRDefault="00BD5E12" w:rsidP="00BD5E12">
      <w:pPr>
        <w:pStyle w:val="ListeParagraf"/>
        <w:numPr>
          <w:ilvl w:val="0"/>
          <w:numId w:val="1"/>
        </w:numPr>
        <w:tabs>
          <w:tab w:val="left" w:pos="1132"/>
        </w:tabs>
        <w:spacing w:before="2" w:line="360" w:lineRule="auto"/>
        <w:ind w:hanging="355"/>
        <w:rPr>
          <w:sz w:val="24"/>
        </w:rPr>
      </w:pPr>
      <w:r>
        <w:rPr>
          <w:sz w:val="24"/>
        </w:rPr>
        <w:t xml:space="preserve">10 TL Posta </w:t>
      </w:r>
      <w:proofErr w:type="spellStart"/>
      <w:r>
        <w:rPr>
          <w:sz w:val="24"/>
        </w:rPr>
        <w:t>Pulu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</w:p>
    <w:p w:rsidR="00BD5E12" w:rsidRPr="00BD5E12" w:rsidRDefault="00BD5E12" w:rsidP="00BD5E12">
      <w:pPr>
        <w:pStyle w:val="GvdeMetni"/>
        <w:ind w:left="0"/>
        <w:rPr>
          <w:color w:val="1F497D" w:themeColor="text2"/>
          <w:sz w:val="26"/>
          <w:u w:val="single"/>
        </w:rPr>
      </w:pPr>
    </w:p>
    <w:p w:rsidR="00BD5E12" w:rsidRPr="00BD5E12" w:rsidRDefault="00BD5E12" w:rsidP="00BD5E12">
      <w:pPr>
        <w:ind w:left="418" w:right="158"/>
        <w:jc w:val="both"/>
      </w:pPr>
      <w:proofErr w:type="spellStart"/>
      <w:proofErr w:type="gramStart"/>
      <w:r w:rsidRPr="00BD5E12">
        <w:t>Toplam</w:t>
      </w:r>
      <w:proofErr w:type="spellEnd"/>
      <w:r w:rsidRPr="00BD5E12">
        <w:t xml:space="preserve"> </w:t>
      </w:r>
      <w:proofErr w:type="spellStart"/>
      <w:r w:rsidRPr="00BD5E12">
        <w:t>Harç</w:t>
      </w:r>
      <w:proofErr w:type="spellEnd"/>
      <w:r w:rsidRPr="00BD5E12">
        <w:t xml:space="preserve"> </w:t>
      </w:r>
      <w:proofErr w:type="spellStart"/>
      <w:r w:rsidRPr="00BD5E12">
        <w:t>tutarı</w:t>
      </w:r>
      <w:proofErr w:type="spellEnd"/>
      <w:r w:rsidRPr="00BD5E12">
        <w:t xml:space="preserve"> 2 </w:t>
      </w:r>
      <w:proofErr w:type="spellStart"/>
      <w:r w:rsidRPr="00BD5E12">
        <w:t>eşit</w:t>
      </w:r>
      <w:proofErr w:type="spellEnd"/>
      <w:r w:rsidRPr="00BD5E12">
        <w:t xml:space="preserve"> </w:t>
      </w:r>
      <w:proofErr w:type="spellStart"/>
      <w:r w:rsidRPr="00BD5E12">
        <w:t>taksit</w:t>
      </w:r>
      <w:proofErr w:type="spellEnd"/>
      <w:r w:rsidRPr="00BD5E12">
        <w:t xml:space="preserve"> </w:t>
      </w:r>
      <w:proofErr w:type="spellStart"/>
      <w:r w:rsidRPr="00BD5E12">
        <w:t>olarak</w:t>
      </w:r>
      <w:proofErr w:type="spellEnd"/>
      <w:r w:rsidRPr="00BD5E12">
        <w:t xml:space="preserve"> </w:t>
      </w:r>
      <w:proofErr w:type="spellStart"/>
      <w:r w:rsidRPr="00BD5E12">
        <w:t>ödenmektedir</w:t>
      </w:r>
      <w:proofErr w:type="spellEnd"/>
      <w:r w:rsidRPr="00BD5E12">
        <w:t>.</w:t>
      </w:r>
      <w:proofErr w:type="gramEnd"/>
      <w:r w:rsidRPr="00BD5E12">
        <w:t xml:space="preserve"> 1. </w:t>
      </w:r>
      <w:proofErr w:type="spellStart"/>
      <w:r>
        <w:t>Ödeme</w:t>
      </w:r>
      <w:proofErr w:type="spellEnd"/>
      <w:r>
        <w:t xml:space="preserve"> </w:t>
      </w:r>
      <w:proofErr w:type="spellStart"/>
      <w:r w:rsidRPr="00BD5E12">
        <w:t>kayıt</w:t>
      </w:r>
      <w:proofErr w:type="spellEnd"/>
      <w:r w:rsidRPr="00BD5E12">
        <w:t xml:space="preserve"> </w:t>
      </w:r>
      <w:proofErr w:type="spellStart"/>
      <w:r w:rsidRPr="00BD5E12">
        <w:t>esnasında</w:t>
      </w:r>
      <w:proofErr w:type="spellEnd"/>
      <w:r w:rsidRPr="00BD5E12">
        <w:t xml:space="preserve"> 2. </w:t>
      </w:r>
      <w:proofErr w:type="spellStart"/>
      <w:proofErr w:type="gramStart"/>
      <w:r>
        <w:t>ödeme</w:t>
      </w:r>
      <w:proofErr w:type="spellEnd"/>
      <w:proofErr w:type="gramEnd"/>
      <w:r w:rsidRPr="00BD5E12">
        <w:t xml:space="preserve"> </w:t>
      </w:r>
      <w:proofErr w:type="spellStart"/>
      <w:r w:rsidRPr="00BD5E12">
        <w:t>ikinci</w:t>
      </w:r>
      <w:proofErr w:type="spellEnd"/>
      <w:r w:rsidRPr="00BD5E12">
        <w:t xml:space="preserve"> </w:t>
      </w:r>
      <w:proofErr w:type="spellStart"/>
      <w:r w:rsidRPr="00BD5E12">
        <w:t>dönem</w:t>
      </w:r>
      <w:proofErr w:type="spellEnd"/>
      <w:r w:rsidRPr="00BD5E12">
        <w:t xml:space="preserve"> </w:t>
      </w:r>
      <w:proofErr w:type="spellStart"/>
      <w:r w:rsidRPr="00BD5E12">
        <w:t>başında</w:t>
      </w:r>
      <w:proofErr w:type="spellEnd"/>
      <w:r w:rsidRPr="00BD5E12">
        <w:t xml:space="preserve"> </w:t>
      </w:r>
      <w:proofErr w:type="spellStart"/>
      <w:r w:rsidRPr="00BD5E12">
        <w:t>alınmaktadir</w:t>
      </w:r>
      <w:proofErr w:type="spellEnd"/>
      <w:r w:rsidRPr="00BD5E12">
        <w:t>.</w:t>
      </w:r>
      <w:r>
        <w:t>(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Müh</w:t>
      </w:r>
      <w:proofErr w:type="spellEnd"/>
      <w:r>
        <w:t xml:space="preserve">. </w:t>
      </w:r>
      <w:proofErr w:type="spellStart"/>
      <w:r>
        <w:t>Hariç</w:t>
      </w:r>
      <w:proofErr w:type="spellEnd"/>
      <w:r>
        <w:t>)</w:t>
      </w:r>
    </w:p>
    <w:p w:rsidR="00BD5E12" w:rsidRDefault="00BD5E12" w:rsidP="00BD5E12">
      <w:pPr>
        <w:ind w:left="418" w:right="158"/>
        <w:jc w:val="both"/>
        <w:rPr>
          <w:b/>
          <w:color w:val="FF0000"/>
          <w:u w:val="thick" w:color="FF0000"/>
        </w:rPr>
      </w:pPr>
    </w:p>
    <w:p w:rsidR="00BD5E12" w:rsidRDefault="00BD5E12" w:rsidP="00BD5E12">
      <w:pPr>
        <w:ind w:left="418" w:right="158"/>
        <w:jc w:val="both"/>
        <w:rPr>
          <w:b/>
        </w:rPr>
      </w:pPr>
      <w:r>
        <w:rPr>
          <w:b/>
          <w:color w:val="FF0000"/>
          <w:u w:val="thick" w:color="FF0000"/>
        </w:rPr>
        <w:t>Not:</w:t>
      </w:r>
      <w:r>
        <w:rPr>
          <w:b/>
          <w:color w:val="FF0000"/>
        </w:rPr>
        <w:t xml:space="preserve"> </w:t>
      </w:r>
      <w:proofErr w:type="spellStart"/>
      <w:r>
        <w:rPr>
          <w:b/>
        </w:rPr>
        <w:t>Kesin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kayıt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yaptırmaya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kazanan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adaylarımız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ücretlerini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kendilerine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numaraları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üzerine</w:t>
      </w:r>
      <w:proofErr w:type="spellEnd"/>
      <w:r>
        <w:rPr>
          <w:b/>
        </w:rPr>
        <w:t xml:space="preserve"> T.C. </w:t>
      </w:r>
      <w:proofErr w:type="spellStart"/>
      <w:r>
        <w:rPr>
          <w:b/>
        </w:rPr>
        <w:t>Ziraat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Bankasına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yatırmaları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gerekmektedir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Kampüs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içinde</w:t>
      </w:r>
      <w:proofErr w:type="spellEnd"/>
      <w:r>
        <w:rPr>
          <w:b/>
        </w:rPr>
        <w:t xml:space="preserve"> ATM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Banka </w:t>
      </w:r>
      <w:proofErr w:type="spellStart"/>
      <w:r>
        <w:rPr>
          <w:b/>
        </w:rPr>
        <w:t>Şubesi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vardır</w:t>
      </w:r>
      <w:proofErr w:type="spellEnd"/>
      <w:r>
        <w:rPr>
          <w:b/>
        </w:rPr>
        <w:t>.</w:t>
      </w:r>
      <w:proofErr w:type="gramEnd"/>
    </w:p>
    <w:p w:rsidR="00BD5E12" w:rsidRDefault="00BD5E12" w:rsidP="00BD5E12">
      <w:pPr>
        <w:ind w:left="418" w:right="158"/>
        <w:jc w:val="both"/>
        <w:rPr>
          <w:b/>
        </w:rPr>
      </w:pPr>
    </w:p>
    <w:p w:rsidR="00BD5E12" w:rsidRDefault="00BD5E12" w:rsidP="00BD5E12">
      <w:pPr>
        <w:ind w:left="418" w:right="158"/>
        <w:jc w:val="both"/>
        <w:rPr>
          <w:b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Öğrenci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katkı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payı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öğrenim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ücretleri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sadece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T.C.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Ziraat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Bankası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ATM’lerinden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T.C.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Ziraat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Bankası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İnternet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Şubesi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üzerinden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T.C.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Ziraat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Bankası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mobil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uygulamalarından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yatırılacaktır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T.C.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Ziraat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Bankası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ATM’lerinden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Kartsız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İşlemler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menüsü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altındaki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Üniversite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Eğitim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Ödemeleri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Anlaşmalı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Üniversiteler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 İl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Plaka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Kodu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(78) /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Karabük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seçilerek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yapılabilecektir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İnternet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şubesinden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“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Eğitim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menüsü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altındaki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üniversite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harç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sınav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ödemelerinde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alan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Karabük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seçilerek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yapılabilecektir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BD5E12" w:rsidRDefault="00BD5E12" w:rsidP="00BD5E12">
      <w:pPr>
        <w:ind w:right="158"/>
        <w:jc w:val="both"/>
        <w:rPr>
          <w:b/>
        </w:rPr>
      </w:pPr>
    </w:p>
    <w:p w:rsidR="004A3E5B" w:rsidRDefault="004A3E5B" w:rsidP="004A3E5B">
      <w:bookmarkStart w:id="0" w:name="_GoBack"/>
      <w:bookmarkEnd w:id="0"/>
      <w:r>
        <w:t xml:space="preserve">1-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yaptırmaları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 xml:space="preserve">. </w:t>
      </w:r>
      <w:proofErr w:type="spellStart"/>
      <w:proofErr w:type="gramStart"/>
      <w:r>
        <w:t>Mazereti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gelemeyecek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noterden</w:t>
      </w:r>
      <w:proofErr w:type="spellEnd"/>
      <w:r>
        <w:t xml:space="preserve"> </w:t>
      </w:r>
      <w:proofErr w:type="spellStart"/>
      <w:r>
        <w:t>vekâlet</w:t>
      </w:r>
      <w:proofErr w:type="spellEnd"/>
      <w:r>
        <w:t xml:space="preserve"> </w:t>
      </w:r>
      <w:proofErr w:type="spellStart"/>
      <w:r>
        <w:t>vermeleri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işlemleriniyaptırabileceklerdir</w:t>
      </w:r>
      <w:proofErr w:type="spellEnd"/>
      <w:r>
        <w:t>.</w:t>
      </w:r>
      <w:proofErr w:type="gramEnd"/>
      <w:r>
        <w:t xml:space="preserve"> </w:t>
      </w:r>
    </w:p>
    <w:p w:rsidR="004A3E5B" w:rsidRDefault="004A3E5B" w:rsidP="004A3E5B">
      <w:r>
        <w:t xml:space="preserve">2-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belgelerinin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müracaatlar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edilmeyecektir</w:t>
      </w:r>
      <w:proofErr w:type="spellEnd"/>
      <w:r>
        <w:t xml:space="preserve">. </w:t>
      </w:r>
    </w:p>
    <w:p w:rsidR="004A3E5B" w:rsidRDefault="004A3E5B" w:rsidP="004A3E5B">
      <w:r>
        <w:t xml:space="preserve">3-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metninde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mezuniyetlerin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edilmeyecektir</w:t>
      </w:r>
      <w:proofErr w:type="spellEnd"/>
      <w:r>
        <w:t xml:space="preserve">. </w:t>
      </w:r>
    </w:p>
    <w:p w:rsidR="004C2432" w:rsidRDefault="004A3E5B" w:rsidP="004A3E5B">
      <w:r>
        <w:t xml:space="preserve">4-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edinmek</w:t>
      </w:r>
      <w:proofErr w:type="spellEnd"/>
      <w:r>
        <w:t xml:space="preserve"> </w:t>
      </w:r>
      <w:proofErr w:type="spellStart"/>
      <w:r>
        <w:t>isteyenler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başvurabilir</w:t>
      </w:r>
      <w:proofErr w:type="spellEnd"/>
      <w:r>
        <w:t>.</w:t>
      </w:r>
    </w:p>
    <w:sectPr w:rsidR="004C2432" w:rsidSect="00BD5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6B8C"/>
    <w:multiLevelType w:val="hybridMultilevel"/>
    <w:tmpl w:val="34483BC2"/>
    <w:lvl w:ilvl="0" w:tplc="125CD056">
      <w:start w:val="1"/>
      <w:numFmt w:val="lowerLetter"/>
      <w:lvlText w:val="%1)"/>
      <w:lvlJc w:val="left"/>
      <w:pPr>
        <w:ind w:left="1131" w:hanging="356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en-US" w:eastAsia="en-US" w:bidi="en-US"/>
      </w:rPr>
    </w:lvl>
    <w:lvl w:ilvl="1" w:tplc="FC225394">
      <w:numFmt w:val="bullet"/>
      <w:lvlText w:val="•"/>
      <w:lvlJc w:val="left"/>
      <w:pPr>
        <w:ind w:left="2018" w:hanging="356"/>
      </w:pPr>
      <w:rPr>
        <w:rFonts w:hint="default"/>
        <w:lang w:val="en-US" w:eastAsia="en-US" w:bidi="en-US"/>
      </w:rPr>
    </w:lvl>
    <w:lvl w:ilvl="2" w:tplc="A8D6A4CE">
      <w:numFmt w:val="bullet"/>
      <w:lvlText w:val="•"/>
      <w:lvlJc w:val="left"/>
      <w:pPr>
        <w:ind w:left="2897" w:hanging="356"/>
      </w:pPr>
      <w:rPr>
        <w:rFonts w:hint="default"/>
        <w:lang w:val="en-US" w:eastAsia="en-US" w:bidi="en-US"/>
      </w:rPr>
    </w:lvl>
    <w:lvl w:ilvl="3" w:tplc="0B68E3B4">
      <w:numFmt w:val="bullet"/>
      <w:lvlText w:val="•"/>
      <w:lvlJc w:val="left"/>
      <w:pPr>
        <w:ind w:left="3775" w:hanging="356"/>
      </w:pPr>
      <w:rPr>
        <w:rFonts w:hint="default"/>
        <w:lang w:val="en-US" w:eastAsia="en-US" w:bidi="en-US"/>
      </w:rPr>
    </w:lvl>
    <w:lvl w:ilvl="4" w:tplc="352418EC">
      <w:numFmt w:val="bullet"/>
      <w:lvlText w:val="•"/>
      <w:lvlJc w:val="left"/>
      <w:pPr>
        <w:ind w:left="4654" w:hanging="356"/>
      </w:pPr>
      <w:rPr>
        <w:rFonts w:hint="default"/>
        <w:lang w:val="en-US" w:eastAsia="en-US" w:bidi="en-US"/>
      </w:rPr>
    </w:lvl>
    <w:lvl w:ilvl="5" w:tplc="62B661C0">
      <w:numFmt w:val="bullet"/>
      <w:lvlText w:val="•"/>
      <w:lvlJc w:val="left"/>
      <w:pPr>
        <w:ind w:left="5533" w:hanging="356"/>
      </w:pPr>
      <w:rPr>
        <w:rFonts w:hint="default"/>
        <w:lang w:val="en-US" w:eastAsia="en-US" w:bidi="en-US"/>
      </w:rPr>
    </w:lvl>
    <w:lvl w:ilvl="6" w:tplc="9E743074">
      <w:numFmt w:val="bullet"/>
      <w:lvlText w:val="•"/>
      <w:lvlJc w:val="left"/>
      <w:pPr>
        <w:ind w:left="6411" w:hanging="356"/>
      </w:pPr>
      <w:rPr>
        <w:rFonts w:hint="default"/>
        <w:lang w:val="en-US" w:eastAsia="en-US" w:bidi="en-US"/>
      </w:rPr>
    </w:lvl>
    <w:lvl w:ilvl="7" w:tplc="44CA44E2">
      <w:numFmt w:val="bullet"/>
      <w:lvlText w:val="•"/>
      <w:lvlJc w:val="left"/>
      <w:pPr>
        <w:ind w:left="7290" w:hanging="356"/>
      </w:pPr>
      <w:rPr>
        <w:rFonts w:hint="default"/>
        <w:lang w:val="en-US" w:eastAsia="en-US" w:bidi="en-US"/>
      </w:rPr>
    </w:lvl>
    <w:lvl w:ilvl="8" w:tplc="DEA87132">
      <w:numFmt w:val="bullet"/>
      <w:lvlText w:val="•"/>
      <w:lvlJc w:val="left"/>
      <w:pPr>
        <w:ind w:left="8169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12"/>
    <w:rsid w:val="004A3E5B"/>
    <w:rsid w:val="004C2432"/>
    <w:rsid w:val="0073727D"/>
    <w:rsid w:val="00B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D5E12"/>
    <w:pPr>
      <w:ind w:left="113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5E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BD5E12"/>
    <w:pPr>
      <w:ind w:left="1131" w:hanging="355"/>
    </w:pPr>
  </w:style>
  <w:style w:type="character" w:styleId="Gl">
    <w:name w:val="Strong"/>
    <w:basedOn w:val="VarsaylanParagrafYazTipi"/>
    <w:uiPriority w:val="22"/>
    <w:qFormat/>
    <w:rsid w:val="00BD5E1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D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D5E12"/>
    <w:pPr>
      <w:ind w:left="113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5E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BD5E12"/>
    <w:pPr>
      <w:ind w:left="1131" w:hanging="355"/>
    </w:pPr>
  </w:style>
  <w:style w:type="character" w:styleId="Gl">
    <w:name w:val="Strong"/>
    <w:basedOn w:val="VarsaylanParagrafYazTipi"/>
    <w:uiPriority w:val="22"/>
    <w:qFormat/>
    <w:rsid w:val="00BD5E1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D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casper78</cp:lastModifiedBy>
  <cp:revision>2</cp:revision>
  <dcterms:created xsi:type="dcterms:W3CDTF">2020-01-23T07:16:00Z</dcterms:created>
  <dcterms:modified xsi:type="dcterms:W3CDTF">2020-01-23T16:53:00Z</dcterms:modified>
</cp:coreProperties>
</file>